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32563" w:rsidP="00DF539B" w:rsidRDefault="55BA301C" w14:paraId="6EEF9637" w14:textId="6E5B4500">
      <w:pPr>
        <w:tabs>
          <w:tab w:val="left" w:pos="6955"/>
        </w:tabs>
        <w:ind w:left="250" w:hanging="250"/>
      </w:pPr>
      <w:r>
        <w:rPr>
          <w:noProof/>
        </w:rPr>
        <w:drawing>
          <wp:inline distT="0" distB="0" distL="0" distR="0" wp14:anchorId="47CB0092" wp14:editId="6AABB28F">
            <wp:extent cx="4572000" cy="819150"/>
            <wp:effectExtent l="0" t="0" r="0" b="0"/>
            <wp:docPr id="815662022" name="Picture 81566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819150"/>
                    </a:xfrm>
                    <a:prstGeom prst="rect">
                      <a:avLst/>
                    </a:prstGeom>
                  </pic:spPr>
                </pic:pic>
              </a:graphicData>
            </a:graphic>
          </wp:inline>
        </w:drawing>
      </w:r>
    </w:p>
    <w:p w:rsidR="00432563" w:rsidRDefault="00432563" w14:paraId="7862A746" w14:textId="77777777">
      <w:pPr>
        <w:pStyle w:val="BodyText"/>
        <w:spacing w:before="9"/>
        <w:rPr>
          <w:rFonts w:ascii="Times New Roman"/>
          <w:sz w:val="12"/>
        </w:rPr>
      </w:pPr>
    </w:p>
    <w:p w:rsidRPr="00C202E3" w:rsidR="00432563" w:rsidP="00C202E3" w:rsidRDefault="00644DA5" w14:paraId="09B417E5" w14:textId="3F9725A5">
      <w:pPr>
        <w:pBdr>
          <w:top w:val="nil"/>
          <w:left w:val="nil"/>
          <w:bottom w:val="nil"/>
          <w:right w:val="nil"/>
          <w:between w:val="nil"/>
        </w:pBdr>
        <w:spacing w:before="120"/>
        <w:rPr>
          <w:color w:val="333333"/>
          <w:sz w:val="21"/>
          <w:szCs w:val="21"/>
        </w:rPr>
      </w:pPr>
      <w:r w:rsidRPr="00C202E3">
        <w:rPr>
          <w:color w:val="333333"/>
          <w:sz w:val="21"/>
          <w:szCs w:val="21"/>
        </w:rPr>
        <w:t xml:space="preserve">Dear </w:t>
      </w:r>
      <w:r w:rsidRPr="00C202E3" w:rsidR="00E127ED">
        <w:rPr>
          <w:color w:val="333333"/>
          <w:sz w:val="21"/>
          <w:szCs w:val="21"/>
        </w:rPr>
        <w:t>[insert name]</w:t>
      </w:r>
      <w:r w:rsidRPr="00C202E3">
        <w:rPr>
          <w:color w:val="333333"/>
          <w:sz w:val="21"/>
          <w:szCs w:val="21"/>
        </w:rPr>
        <w:t>:</w:t>
      </w:r>
    </w:p>
    <w:p w:rsidR="00432563" w:rsidRDefault="00432563" w14:paraId="5D056BE1" w14:textId="77777777">
      <w:pPr>
        <w:pStyle w:val="BodyText"/>
        <w:spacing w:before="7"/>
        <w:rPr>
          <w:sz w:val="19"/>
        </w:rPr>
      </w:pPr>
    </w:p>
    <w:p w:rsidR="00DF539B" w:rsidP="00DF539B" w:rsidRDefault="00DF539B" w14:paraId="11EF784F" w14:textId="77777777">
      <w:pPr>
        <w:pBdr>
          <w:top w:val="nil"/>
          <w:left w:val="nil"/>
          <w:bottom w:val="nil"/>
          <w:right w:val="nil"/>
          <w:between w:val="nil"/>
        </w:pBdr>
        <w:ind w:left="220"/>
        <w:rPr>
          <w:rFonts w:ascii="Times New Roman" w:hAnsi="Times New Roman" w:eastAsia="Times New Roman" w:cs="Times New Roman"/>
          <w:color w:val="000000"/>
          <w:sz w:val="20"/>
          <w:szCs w:val="20"/>
        </w:rPr>
      </w:pPr>
      <w:r>
        <w:rPr>
          <w:color w:val="000000"/>
          <w:sz w:val="21"/>
          <w:szCs w:val="21"/>
        </w:rPr>
        <w:t xml:space="preserve">Alteryx is the only quick-to-implement, self-service data analytics platform that allows data scientists &amp; citizen users alike to break the barriers to insight, so everyone can experience the thrill of getting to the answer faster. </w:t>
      </w:r>
    </w:p>
    <w:p w:rsidRPr="001D0648" w:rsidR="00432563" w:rsidRDefault="00644DA5" w14:paraId="45185550" w14:textId="04991FA4">
      <w:pPr>
        <w:pStyle w:val="BodyText"/>
        <w:spacing w:before="154" w:line="237" w:lineRule="auto"/>
        <w:ind w:left="220" w:right="270"/>
        <w:rPr>
          <w:color w:val="000000"/>
        </w:rPr>
      </w:pPr>
      <w:r w:rsidRPr="00DF539B">
        <w:rPr>
          <w:color w:val="000000"/>
        </w:rPr>
        <w:t xml:space="preserve">Their annual analytics conference, </w:t>
      </w:r>
      <w:r w:rsidRPr="00DF539B" w:rsidR="00DF539B">
        <w:rPr>
          <w:color w:val="000000"/>
        </w:rPr>
        <w:t>Inspire</w:t>
      </w:r>
      <w:r w:rsidRPr="001D0648" w:rsidR="00DF539B">
        <w:rPr>
          <w:color w:val="000000"/>
        </w:rPr>
        <w:t xml:space="preserve"> 202</w:t>
      </w:r>
      <w:r w:rsidR="00696690">
        <w:rPr>
          <w:color w:val="000000"/>
        </w:rPr>
        <w:t>3</w:t>
      </w:r>
      <w:r w:rsidRPr="001D0648" w:rsidR="00DF539B">
        <w:rPr>
          <w:color w:val="000000"/>
        </w:rPr>
        <w:t>,</w:t>
      </w:r>
      <w:r w:rsidRPr="001D0648">
        <w:rPr>
          <w:color w:val="000000"/>
        </w:rPr>
        <w:t xml:space="preserve"> is </w:t>
      </w:r>
      <w:r w:rsidRPr="001D0648" w:rsidR="001D0648">
        <w:rPr>
          <w:color w:val="000000"/>
        </w:rPr>
        <w:t xml:space="preserve">May </w:t>
      </w:r>
      <w:r w:rsidR="00696690">
        <w:rPr>
          <w:color w:val="000000"/>
        </w:rPr>
        <w:t>22</w:t>
      </w:r>
      <w:r w:rsidRPr="001D0648" w:rsidR="001D0648">
        <w:rPr>
          <w:color w:val="000000"/>
        </w:rPr>
        <w:t xml:space="preserve"> – </w:t>
      </w:r>
      <w:r w:rsidR="00696690">
        <w:rPr>
          <w:color w:val="000000"/>
        </w:rPr>
        <w:t>25</w:t>
      </w:r>
      <w:r w:rsidRPr="001D0648" w:rsidR="001D0648">
        <w:rPr>
          <w:color w:val="000000"/>
        </w:rPr>
        <w:t>, 202</w:t>
      </w:r>
      <w:r w:rsidR="00696690">
        <w:rPr>
          <w:color w:val="000000"/>
        </w:rPr>
        <w:t>3</w:t>
      </w:r>
      <w:r w:rsidRPr="001D0648">
        <w:rPr>
          <w:color w:val="000000"/>
        </w:rPr>
        <w:t xml:space="preserve"> at </w:t>
      </w:r>
      <w:r w:rsidR="00696690">
        <w:rPr>
          <w:color w:val="000000"/>
        </w:rPr>
        <w:t>The Venetian</w:t>
      </w:r>
      <w:r w:rsidRPr="001D0648" w:rsidR="001D0648">
        <w:rPr>
          <w:color w:val="000000"/>
        </w:rPr>
        <w:t xml:space="preserve"> in </w:t>
      </w:r>
      <w:r w:rsidR="00696690">
        <w:rPr>
          <w:color w:val="000000"/>
        </w:rPr>
        <w:t>Las Vegas, NV</w:t>
      </w:r>
      <w:r w:rsidRPr="001D0648">
        <w:rPr>
          <w:color w:val="000000"/>
        </w:rPr>
        <w:t>. This conference is all about increasing the business value of our information using self-service data analytics to make faster, better-informed decisions, and sharing insights across our organization. If we attend and bring back knowledge and tips from this valuable conference, we can assure you that our team and organization will directly benefit.</w:t>
      </w:r>
    </w:p>
    <w:p w:rsidRPr="001D0648" w:rsidR="001D0648" w:rsidP="001D0648" w:rsidRDefault="001D0648" w14:paraId="06FBA4CE" w14:textId="37672CA7">
      <w:pPr>
        <w:pStyle w:val="Title"/>
        <w:rPr>
          <w:color w:val="000000"/>
          <w:sz w:val="21"/>
          <w:szCs w:val="21"/>
        </w:rPr>
      </w:pPr>
      <w:r w:rsidRPr="001D0648">
        <w:rPr>
          <w:color w:val="000000"/>
          <w:sz w:val="21"/>
          <w:szCs w:val="21"/>
        </w:rPr>
        <w:t xml:space="preserve">Inspire </w:t>
      </w:r>
      <w:r w:rsidR="00696690">
        <w:rPr>
          <w:color w:val="000000"/>
          <w:sz w:val="21"/>
          <w:szCs w:val="21"/>
        </w:rPr>
        <w:t>2023</w:t>
      </w:r>
      <w:r w:rsidRPr="001D0648">
        <w:rPr>
          <w:color w:val="000000"/>
          <w:sz w:val="21"/>
          <w:szCs w:val="21"/>
        </w:rPr>
        <w:t xml:space="preserve"> </w:t>
      </w:r>
      <w:r w:rsidRPr="001D0648" w:rsidR="00644DA5">
        <w:rPr>
          <w:color w:val="000000"/>
          <w:sz w:val="21"/>
          <w:szCs w:val="21"/>
        </w:rPr>
        <w:t xml:space="preserve">brings together technical Alteryx users from organizations of all types and sizes, and exposes them to up-to-date technical product training, deep-dive content, hands-on labs and demonstrations for products across the Alteryx platform we use to run our business. Attendees have access to expert resources and tools, and unique networking opportunities with like-minded peers. Inspire </w:t>
      </w:r>
      <w:r w:rsidR="00696690">
        <w:rPr>
          <w:color w:val="000000"/>
          <w:sz w:val="21"/>
          <w:szCs w:val="21"/>
        </w:rPr>
        <w:t>2023</w:t>
      </w:r>
      <w:r w:rsidRPr="001D0648" w:rsidR="00644DA5">
        <w:rPr>
          <w:color w:val="000000"/>
          <w:sz w:val="21"/>
          <w:szCs w:val="21"/>
        </w:rPr>
        <w:t xml:space="preserve"> will allow us to:</w:t>
      </w:r>
    </w:p>
    <w:p w:rsidRPr="001D0648" w:rsidR="00432563" w:rsidP="001D0648" w:rsidRDefault="00644DA5" w14:paraId="467E5773" w14:textId="5BD11B88">
      <w:pPr>
        <w:pStyle w:val="ListParagraph"/>
        <w:numPr>
          <w:ilvl w:val="0"/>
          <w:numId w:val="1"/>
        </w:numPr>
        <w:tabs>
          <w:tab w:val="left" w:pos="939"/>
          <w:tab w:val="left" w:pos="940"/>
        </w:tabs>
        <w:spacing w:before="62" w:line="240" w:lineRule="auto"/>
        <w:ind w:right="192"/>
        <w:rPr>
          <w:sz w:val="21"/>
        </w:rPr>
      </w:pPr>
      <w:r>
        <w:rPr>
          <w:sz w:val="21"/>
        </w:rPr>
        <w:t>Receive in-depth, hands-on product training with Alteryx tools that directly relate to the projects we</w:t>
      </w:r>
      <w:r>
        <w:rPr>
          <w:spacing w:val="-46"/>
          <w:sz w:val="21"/>
        </w:rPr>
        <w:t xml:space="preserve"> </w:t>
      </w:r>
      <w:r>
        <w:rPr>
          <w:sz w:val="21"/>
        </w:rPr>
        <w:t>are working on</w:t>
      </w:r>
      <w:r w:rsidR="001D0648">
        <w:rPr>
          <w:sz w:val="21"/>
        </w:rPr>
        <w:t>, b</w:t>
      </w:r>
      <w:r w:rsidRPr="001D0648">
        <w:rPr>
          <w:sz w:val="21"/>
        </w:rPr>
        <w:t>ring</w:t>
      </w:r>
      <w:r w:rsidR="001D0648">
        <w:rPr>
          <w:sz w:val="21"/>
        </w:rPr>
        <w:t>ing</w:t>
      </w:r>
      <w:r w:rsidRPr="001D0648">
        <w:rPr>
          <w:sz w:val="21"/>
        </w:rPr>
        <w:t xml:space="preserve"> back knowledge, new tips and techniques that we can put to use right away</w:t>
      </w:r>
    </w:p>
    <w:p w:rsidR="00432563" w:rsidRDefault="00644DA5" w14:paraId="77EDB40F" w14:textId="04FEC26C">
      <w:pPr>
        <w:pStyle w:val="ListParagraph"/>
        <w:numPr>
          <w:ilvl w:val="0"/>
          <w:numId w:val="1"/>
        </w:numPr>
        <w:tabs>
          <w:tab w:val="left" w:pos="939"/>
          <w:tab w:val="left" w:pos="940"/>
        </w:tabs>
        <w:spacing w:line="253" w:lineRule="exact"/>
        <w:rPr>
          <w:sz w:val="21"/>
        </w:rPr>
      </w:pPr>
      <w:r>
        <w:rPr>
          <w:sz w:val="21"/>
        </w:rPr>
        <w:t>See first-hand how data-driven companies are gaining advantage with Alteryx</w:t>
      </w:r>
    </w:p>
    <w:p w:rsidRPr="00696690" w:rsidR="00C202E3" w:rsidP="00C202E3" w:rsidRDefault="00C202E3" w14:paraId="49CA7107" w14:textId="77777777">
      <w:pPr>
        <w:widowControl/>
        <w:numPr>
          <w:ilvl w:val="0"/>
          <w:numId w:val="1"/>
        </w:numPr>
        <w:pBdr>
          <w:top w:val="nil"/>
          <w:left w:val="nil"/>
          <w:bottom w:val="nil"/>
          <w:right w:val="nil"/>
          <w:between w:val="nil"/>
        </w:pBdr>
        <w:autoSpaceDE/>
        <w:autoSpaceDN/>
        <w:rPr>
          <w:color w:val="000000" w:themeColor="text1"/>
        </w:rPr>
      </w:pPr>
      <w:r w:rsidRPr="00696690">
        <w:rPr>
          <w:color w:val="000000" w:themeColor="text1"/>
          <w:sz w:val="21"/>
          <w:szCs w:val="21"/>
        </w:rPr>
        <w:t>Meet with Alteryx product managers, developers and sales engineers in the Solutions Center, where I can schedule 1:1 time to discuss how we can use [</w:t>
      </w:r>
      <w:r w:rsidRPr="00696690">
        <w:rPr>
          <w:i/>
          <w:color w:val="000000" w:themeColor="text1"/>
          <w:sz w:val="21"/>
          <w:szCs w:val="21"/>
        </w:rPr>
        <w:t>insert technology here</w:t>
      </w:r>
      <w:r w:rsidRPr="00696690">
        <w:rPr>
          <w:color w:val="000000" w:themeColor="text1"/>
          <w:sz w:val="21"/>
          <w:szCs w:val="21"/>
        </w:rPr>
        <w:t>] and add a new level of sophistication to our [</w:t>
      </w:r>
      <w:r w:rsidRPr="00696690">
        <w:rPr>
          <w:i/>
          <w:color w:val="000000" w:themeColor="text1"/>
          <w:sz w:val="21"/>
          <w:szCs w:val="21"/>
        </w:rPr>
        <w:t>insert project here</w:t>
      </w:r>
      <w:r w:rsidRPr="00696690">
        <w:rPr>
          <w:color w:val="000000" w:themeColor="text1"/>
          <w:sz w:val="21"/>
          <w:szCs w:val="21"/>
        </w:rPr>
        <w:t>]</w:t>
      </w:r>
    </w:p>
    <w:p w:rsidRPr="00696690" w:rsidR="00432563" w:rsidRDefault="00644DA5" w14:paraId="0F1AA48A" w14:textId="77777777">
      <w:pPr>
        <w:pStyle w:val="ListParagraph"/>
        <w:numPr>
          <w:ilvl w:val="0"/>
          <w:numId w:val="1"/>
        </w:numPr>
        <w:tabs>
          <w:tab w:val="left" w:pos="939"/>
          <w:tab w:val="left" w:pos="940"/>
        </w:tabs>
        <w:rPr>
          <w:color w:val="000000" w:themeColor="text1"/>
          <w:sz w:val="21"/>
        </w:rPr>
      </w:pPr>
      <w:r w:rsidRPr="00696690">
        <w:rPr>
          <w:color w:val="000000" w:themeColor="text1"/>
          <w:sz w:val="21"/>
        </w:rPr>
        <w:t>Enhance our skills with technical training and accelerate our professional development</w:t>
      </w:r>
    </w:p>
    <w:p w:rsidRPr="00696690" w:rsidR="00432563" w:rsidRDefault="00644DA5" w14:paraId="0C26EF05" w14:textId="08292885">
      <w:pPr>
        <w:pStyle w:val="ListParagraph"/>
        <w:numPr>
          <w:ilvl w:val="0"/>
          <w:numId w:val="1"/>
        </w:numPr>
        <w:tabs>
          <w:tab w:val="left" w:pos="939"/>
          <w:tab w:val="left" w:pos="940"/>
        </w:tabs>
        <w:rPr>
          <w:color w:val="000000" w:themeColor="text1"/>
          <w:sz w:val="21"/>
        </w:rPr>
      </w:pPr>
      <w:r w:rsidRPr="00696690">
        <w:rPr>
          <w:color w:val="000000" w:themeColor="text1"/>
          <w:sz w:val="21"/>
        </w:rPr>
        <w:t xml:space="preserve">Visit </w:t>
      </w:r>
      <w:r w:rsidRPr="00AA0128" w:rsidR="00AA0128">
        <w:rPr>
          <w:color w:val="000000" w:themeColor="text1"/>
          <w:sz w:val="21"/>
        </w:rPr>
        <w:t>Alter.Nation, which includes the Sponsor Network Expo and provides opportunities to consult with ecosystem partners</w:t>
      </w:r>
    </w:p>
    <w:p w:rsidRPr="00696690" w:rsidR="00432563" w:rsidRDefault="00644DA5" w14:paraId="4CAC3EB9" w14:textId="77777777">
      <w:pPr>
        <w:pStyle w:val="ListParagraph"/>
        <w:numPr>
          <w:ilvl w:val="0"/>
          <w:numId w:val="1"/>
        </w:numPr>
        <w:tabs>
          <w:tab w:val="left" w:pos="939"/>
          <w:tab w:val="left" w:pos="940"/>
        </w:tabs>
        <w:rPr>
          <w:color w:val="000000" w:themeColor="text1"/>
          <w:sz w:val="21"/>
        </w:rPr>
      </w:pPr>
      <w:r w:rsidRPr="00696690">
        <w:rPr>
          <w:color w:val="000000" w:themeColor="text1"/>
          <w:sz w:val="21"/>
        </w:rPr>
        <w:t>Network with other analytics professionals like us, within our industry</w:t>
      </w:r>
    </w:p>
    <w:p w:rsidRPr="00696690" w:rsidR="00432563" w:rsidRDefault="00644DA5" w14:paraId="06EF29FC" w14:textId="7C37F305">
      <w:pPr>
        <w:pStyle w:val="ListParagraph"/>
        <w:numPr>
          <w:ilvl w:val="0"/>
          <w:numId w:val="1"/>
        </w:numPr>
        <w:tabs>
          <w:tab w:val="left" w:pos="939"/>
          <w:tab w:val="left" w:pos="940"/>
        </w:tabs>
        <w:spacing w:line="256" w:lineRule="exact"/>
        <w:rPr>
          <w:color w:val="000000" w:themeColor="text1"/>
          <w:sz w:val="21"/>
        </w:rPr>
      </w:pPr>
      <w:r w:rsidRPr="00696690">
        <w:rPr>
          <w:color w:val="000000" w:themeColor="text1"/>
          <w:sz w:val="21"/>
        </w:rPr>
        <w:t>Hear keynotes from Alteryx executives and this year’s guest keynote</w:t>
      </w:r>
    </w:p>
    <w:p w:rsidR="00432563" w:rsidRDefault="00432563" w14:paraId="202A55CE" w14:textId="77777777">
      <w:pPr>
        <w:pStyle w:val="BodyText"/>
        <w:spacing w:before="10"/>
        <w:rPr>
          <w:sz w:val="20"/>
        </w:rPr>
      </w:pPr>
    </w:p>
    <w:p w:rsidRPr="00696690" w:rsidR="00EB16CF" w:rsidP="00EB16CF" w:rsidRDefault="00EB16CF" w14:paraId="19C24EF1" w14:textId="77777777">
      <w:pPr>
        <w:pBdr>
          <w:top w:val="nil"/>
          <w:left w:val="nil"/>
          <w:bottom w:val="nil"/>
          <w:right w:val="nil"/>
          <w:between w:val="nil"/>
        </w:pBdr>
        <w:ind w:firstLine="180"/>
        <w:rPr>
          <w:rFonts w:ascii="Times New Roman" w:hAnsi="Times New Roman" w:eastAsia="Times New Roman" w:cs="Times New Roman"/>
          <w:color w:val="000000" w:themeColor="text1"/>
          <w:sz w:val="20"/>
          <w:szCs w:val="20"/>
        </w:rPr>
      </w:pPr>
      <w:r w:rsidRPr="00696690">
        <w:rPr>
          <w:color w:val="000000" w:themeColor="text1"/>
          <w:sz w:val="21"/>
          <w:szCs w:val="21"/>
        </w:rPr>
        <w:t xml:space="preserve">Here’s an overview of the costs: </w:t>
      </w:r>
    </w:p>
    <w:tbl>
      <w:tblPr>
        <w:tblW w:w="6240" w:type="dxa"/>
        <w:tblInd w:w="385" w:type="dxa"/>
        <w:tblLayout w:type="fixed"/>
        <w:tblLook w:val="0400" w:firstRow="0" w:lastRow="0" w:firstColumn="0" w:lastColumn="0" w:noHBand="0" w:noVBand="1"/>
      </w:tblPr>
      <w:tblGrid>
        <w:gridCol w:w="4380"/>
        <w:gridCol w:w="1860"/>
      </w:tblGrid>
      <w:tr w:rsidRPr="00696690" w:rsidR="00696690" w:rsidTr="759451A6" w14:paraId="003AF5FF"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4E5B206F"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 xml:space="preserve">Transportation: </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18F81499"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w:t>
            </w:r>
            <w:r w:rsidRPr="00696690">
              <w:rPr>
                <w:i/>
                <w:color w:val="000000" w:themeColor="text1"/>
                <w:sz w:val="21"/>
                <w:szCs w:val="21"/>
              </w:rPr>
              <w:t>insert cost here</w:t>
            </w:r>
            <w:r w:rsidRPr="00696690">
              <w:rPr>
                <w:color w:val="000000" w:themeColor="text1"/>
                <w:sz w:val="21"/>
                <w:szCs w:val="21"/>
              </w:rPr>
              <w:t>]</w:t>
            </w:r>
          </w:p>
        </w:tc>
      </w:tr>
      <w:tr w:rsidRPr="00696690" w:rsidR="00696690" w:rsidTr="759451A6" w14:paraId="4303492E"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70FBE4E4" w14:textId="4509ABD5">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Hotel Accommodations</w:t>
            </w:r>
            <w:r w:rsidR="00AA0128">
              <w:rPr>
                <w:color w:val="000000" w:themeColor="text1"/>
                <w:sz w:val="21"/>
                <w:szCs w:val="21"/>
              </w:rPr>
              <w:t>*</w:t>
            </w:r>
            <w:r w:rsidRPr="00696690">
              <w:rPr>
                <w:color w:val="000000" w:themeColor="text1"/>
                <w:sz w:val="21"/>
                <w:szCs w:val="21"/>
              </w:rPr>
              <w:t>:</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759451A6" w:rsidRDefault="00EB16CF" w14:paraId="0A88F3F2" w14:textId="3160C8AF">
            <w:pPr>
              <w:pStyle w:val="Normal"/>
              <w:bidi w:val="0"/>
              <w:spacing w:before="0" w:beforeAutospacing="off" w:after="0" w:afterAutospacing="off" w:line="259" w:lineRule="auto"/>
              <w:ind w:left="0" w:right="0"/>
              <w:jc w:val="left"/>
            </w:pPr>
            <w:r w:rsidRPr="759451A6" w:rsidR="006133B3">
              <w:rPr>
                <w:color w:val="000000" w:themeColor="text1" w:themeTint="FF" w:themeShade="FF"/>
                <w:sz w:val="21"/>
                <w:szCs w:val="21"/>
              </w:rPr>
              <w:t>$259/night++</w:t>
            </w:r>
          </w:p>
        </w:tc>
      </w:tr>
      <w:tr w:rsidRPr="00696690" w:rsidR="00696690" w:rsidTr="759451A6" w14:paraId="2554B0D4"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701B4160"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 xml:space="preserve">Registration Fee: </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759451A6" w:rsidRDefault="00EB16CF" w14:paraId="60A7EDA5" w14:textId="34DC1ACA">
            <w:pPr>
              <w:pStyle w:val="Normal"/>
              <w:bidi w:val="0"/>
              <w:spacing w:before="0" w:beforeAutospacing="off" w:after="0" w:afterAutospacing="off" w:line="259" w:lineRule="auto"/>
              <w:ind w:left="0" w:right="0"/>
              <w:jc w:val="left"/>
            </w:pPr>
            <w:r w:rsidRPr="759451A6" w:rsidR="69C36D18">
              <w:rPr>
                <w:color w:val="000000" w:themeColor="text1" w:themeTint="FF" w:themeShade="FF"/>
                <w:sz w:val="21"/>
                <w:szCs w:val="21"/>
              </w:rPr>
              <w:t>$1,525</w:t>
            </w:r>
          </w:p>
        </w:tc>
      </w:tr>
      <w:tr w:rsidRPr="00696690" w:rsidR="00696690" w:rsidTr="759451A6" w14:paraId="32C1C675"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3D107F58"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 xml:space="preserve">Training Fee: </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759451A6" w:rsidRDefault="00EB16CF" w14:paraId="3CF23400" w14:textId="42EA73C4">
            <w:pPr>
              <w:pStyle w:val="Normal"/>
              <w:bidi w:val="0"/>
              <w:spacing w:before="0" w:beforeAutospacing="off" w:after="0" w:afterAutospacing="off" w:line="259" w:lineRule="auto"/>
              <w:ind w:left="0" w:right="0"/>
              <w:jc w:val="left"/>
            </w:pPr>
            <w:r w:rsidRPr="759451A6" w:rsidR="2598FFE4">
              <w:rPr>
                <w:color w:val="000000" w:themeColor="text1" w:themeTint="FF" w:themeShade="FF"/>
                <w:sz w:val="21"/>
                <w:szCs w:val="21"/>
              </w:rPr>
              <w:t>$1,000</w:t>
            </w:r>
          </w:p>
        </w:tc>
      </w:tr>
      <w:tr w:rsidRPr="00696690" w:rsidR="00696690" w:rsidTr="759451A6" w14:paraId="37C2F01E"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4EE743E7"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Other Expenses (NOTE: Most meals are covered)</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1924E71D"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w:t>
            </w:r>
            <w:r w:rsidRPr="00696690">
              <w:rPr>
                <w:i/>
                <w:color w:val="000000" w:themeColor="text1"/>
                <w:sz w:val="21"/>
                <w:szCs w:val="21"/>
              </w:rPr>
              <w:t>insert cost here</w:t>
            </w:r>
            <w:r w:rsidRPr="00696690">
              <w:rPr>
                <w:color w:val="000000" w:themeColor="text1"/>
                <w:sz w:val="21"/>
                <w:szCs w:val="21"/>
              </w:rPr>
              <w:t>]</w:t>
            </w:r>
          </w:p>
        </w:tc>
      </w:tr>
      <w:tr w:rsidRPr="00696690" w:rsidR="00EB16CF" w:rsidTr="759451A6" w14:paraId="4A029401" w14:textId="77777777">
        <w:trPr>
          <w:trHeight w:val="140"/>
        </w:trPr>
        <w:tc>
          <w:tcPr>
            <w:tcW w:w="43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4C828BA9"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b/>
                <w:color w:val="000000" w:themeColor="text1"/>
                <w:sz w:val="21"/>
                <w:szCs w:val="21"/>
              </w:rPr>
              <w:t>Projected Total Costs:</w:t>
            </w:r>
          </w:p>
        </w:tc>
        <w:tc>
          <w:tcPr>
            <w:tcW w:w="18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0" w:type="dxa"/>
              <w:left w:w="115" w:type="dxa"/>
              <w:bottom w:w="0" w:type="dxa"/>
              <w:right w:w="115" w:type="dxa"/>
            </w:tcMar>
            <w:vAlign w:val="center"/>
          </w:tcPr>
          <w:p w:rsidRPr="00696690" w:rsidR="00EB16CF" w:rsidP="00AE090B" w:rsidRDefault="00EB16CF" w14:paraId="4734A74A" w14:textId="77777777">
            <w:pPr>
              <w:pBdr>
                <w:top w:val="nil"/>
                <w:left w:val="nil"/>
                <w:bottom w:val="nil"/>
                <w:right w:val="nil"/>
                <w:between w:val="nil"/>
              </w:pBdr>
              <w:rPr>
                <w:rFonts w:ascii="Times New Roman" w:hAnsi="Times New Roman" w:eastAsia="Times New Roman" w:cs="Times New Roman"/>
                <w:color w:val="000000" w:themeColor="text1"/>
                <w:sz w:val="20"/>
                <w:szCs w:val="20"/>
              </w:rPr>
            </w:pPr>
            <w:r w:rsidRPr="00696690">
              <w:rPr>
                <w:color w:val="000000" w:themeColor="text1"/>
                <w:sz w:val="21"/>
                <w:szCs w:val="21"/>
              </w:rPr>
              <w:t>[</w:t>
            </w:r>
            <w:r w:rsidRPr="00696690">
              <w:rPr>
                <w:i/>
                <w:color w:val="000000" w:themeColor="text1"/>
                <w:sz w:val="21"/>
                <w:szCs w:val="21"/>
              </w:rPr>
              <w:t>insert cost here</w:t>
            </w:r>
            <w:r w:rsidRPr="00696690">
              <w:rPr>
                <w:color w:val="000000" w:themeColor="text1"/>
                <w:sz w:val="21"/>
                <w:szCs w:val="21"/>
              </w:rPr>
              <w:t>]</w:t>
            </w:r>
          </w:p>
        </w:tc>
      </w:tr>
    </w:tbl>
    <w:p w:rsidRPr="00696690" w:rsidR="00432563" w:rsidRDefault="00432563" w14:paraId="1DCD472F" w14:textId="77777777">
      <w:pPr>
        <w:pStyle w:val="BodyText"/>
        <w:rPr>
          <w:b/>
          <w:color w:val="000000" w:themeColor="text1"/>
          <w:sz w:val="20"/>
        </w:rPr>
      </w:pPr>
    </w:p>
    <w:p w:rsidRPr="00696690" w:rsidR="00C202E3" w:rsidP="00C202E3" w:rsidRDefault="00C202E3" w14:paraId="4C655AB2" w14:textId="4858F67D">
      <w:pPr>
        <w:pStyle w:val="Title"/>
        <w:rPr>
          <w:color w:val="000000" w:themeColor="text1"/>
          <w:sz w:val="21"/>
          <w:szCs w:val="21"/>
        </w:rPr>
      </w:pPr>
      <w:r w:rsidRPr="00696690">
        <w:rPr>
          <w:color w:val="000000" w:themeColor="text1"/>
          <w:sz w:val="21"/>
          <w:szCs w:val="21"/>
        </w:rPr>
        <w:t xml:space="preserve">I hope you agree that the practical, educational and networking benefits of attending Inspire </w:t>
      </w:r>
      <w:r w:rsidRPr="00696690" w:rsidR="00696690">
        <w:rPr>
          <w:color w:val="000000" w:themeColor="text1"/>
          <w:sz w:val="21"/>
          <w:szCs w:val="21"/>
        </w:rPr>
        <w:t xml:space="preserve">2023 </w:t>
      </w:r>
      <w:r w:rsidRPr="00696690">
        <w:rPr>
          <w:color w:val="000000" w:themeColor="text1"/>
          <w:sz w:val="21"/>
          <w:szCs w:val="21"/>
        </w:rPr>
        <w:t xml:space="preserve">will help advance our data analytics effectiveness and business performance. </w:t>
      </w:r>
    </w:p>
    <w:p w:rsidRPr="00696690" w:rsidR="00432563" w:rsidRDefault="00432563" w14:paraId="67309BAE" w14:textId="77777777">
      <w:pPr>
        <w:pStyle w:val="BodyText"/>
        <w:rPr>
          <w:b/>
          <w:color w:val="000000" w:themeColor="text1"/>
          <w:sz w:val="20"/>
        </w:rPr>
      </w:pPr>
    </w:p>
    <w:p w:rsidRPr="00696690" w:rsidR="00432563" w:rsidRDefault="00432563" w14:paraId="4ED15899" w14:textId="77777777">
      <w:pPr>
        <w:pStyle w:val="BodyText"/>
        <w:rPr>
          <w:b/>
          <w:color w:val="000000" w:themeColor="text1"/>
          <w:sz w:val="20"/>
        </w:rPr>
      </w:pPr>
    </w:p>
    <w:p w:rsidRPr="00696690" w:rsidR="00C202E3" w:rsidP="00C202E3" w:rsidRDefault="00C202E3" w14:paraId="1DC8541D" w14:textId="77777777">
      <w:pPr>
        <w:pBdr>
          <w:top w:val="nil"/>
          <w:left w:val="nil"/>
          <w:bottom w:val="nil"/>
          <w:right w:val="nil"/>
          <w:between w:val="nil"/>
        </w:pBdr>
        <w:spacing w:before="120"/>
        <w:rPr>
          <w:rFonts w:ascii="Times New Roman" w:hAnsi="Times New Roman" w:eastAsia="Times New Roman" w:cs="Times New Roman"/>
          <w:color w:val="000000" w:themeColor="text1"/>
          <w:sz w:val="20"/>
          <w:szCs w:val="20"/>
        </w:rPr>
      </w:pPr>
      <w:r w:rsidRPr="00696690">
        <w:rPr>
          <w:color w:val="000000" w:themeColor="text1"/>
          <w:sz w:val="21"/>
          <w:szCs w:val="21"/>
        </w:rPr>
        <w:t>Thank you for your consideration.</w:t>
      </w:r>
    </w:p>
    <w:p w:rsidRPr="00696690" w:rsidR="00E127ED" w:rsidRDefault="00E127ED" w14:paraId="67CAF875" w14:textId="11EBE9F3">
      <w:pPr>
        <w:pStyle w:val="BodyText"/>
        <w:rPr>
          <w:bCs/>
          <w:color w:val="000000" w:themeColor="text1"/>
          <w:sz w:val="20"/>
        </w:rPr>
      </w:pPr>
      <w:r w:rsidRPr="00696690">
        <w:rPr>
          <w:bCs/>
          <w:color w:val="000000" w:themeColor="text1"/>
          <w:sz w:val="20"/>
        </w:rPr>
        <w:t>[Insert name]</w:t>
      </w:r>
    </w:p>
    <w:p w:rsidR="00432563" w:rsidP="00AA0128" w:rsidRDefault="00432563" w14:paraId="45D017E6" w14:textId="2E043AF4">
      <w:pPr>
        <w:spacing w:before="118"/>
        <w:rPr>
          <w:b/>
          <w:sz w:val="21"/>
        </w:rPr>
      </w:pPr>
    </w:p>
    <w:p w:rsidR="00AA0128" w:rsidP="00AA0128" w:rsidRDefault="00AA0128" w14:paraId="16A8D883" w14:textId="77777777">
      <w:pPr>
        <w:spacing w:before="118"/>
        <w:rPr>
          <w:bCs/>
          <w:i/>
          <w:iCs/>
          <w:sz w:val="20"/>
          <w:szCs w:val="21"/>
        </w:rPr>
      </w:pPr>
    </w:p>
    <w:p w:rsidRPr="00AA0128" w:rsidR="00AA0128" w:rsidP="00AA0128" w:rsidRDefault="00AA0128" w14:paraId="735664CD" w14:textId="0C28DCBC">
      <w:pPr>
        <w:spacing w:before="118"/>
        <w:rPr>
          <w:bCs/>
          <w:i/>
          <w:iCs/>
          <w:sz w:val="20"/>
          <w:szCs w:val="21"/>
        </w:rPr>
      </w:pPr>
      <w:r w:rsidRPr="00AA0128">
        <w:rPr>
          <w:bCs/>
          <w:i/>
          <w:iCs/>
          <w:sz w:val="20"/>
          <w:szCs w:val="21"/>
        </w:rPr>
        <w:t>*If available at time of registration, the discounted group room rate at the host hotel is $259/night + taxes and fees</w:t>
      </w:r>
    </w:p>
    <w:sectPr w:rsidRPr="00AA0128" w:rsidR="00AA0128">
      <w:type w:val="continuous"/>
      <w:pgSz w:w="12240" w:h="15840" w:orient="portrait"/>
      <w:pgMar w:top="7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D88"/>
    <w:multiLevelType w:val="hybridMultilevel"/>
    <w:tmpl w:val="9210FC1A"/>
    <w:lvl w:ilvl="0" w:tplc="0082E596">
      <w:numFmt w:val="bullet"/>
      <w:lvlText w:val="●"/>
      <w:lvlJc w:val="left"/>
      <w:pPr>
        <w:ind w:left="940" w:hanging="360"/>
      </w:pPr>
      <w:rPr>
        <w:rFonts w:hint="default" w:ascii="Arial" w:hAnsi="Arial" w:eastAsia="Arial" w:cs="Arial"/>
        <w:b w:val="0"/>
        <w:bCs w:val="0"/>
        <w:i w:val="0"/>
        <w:iCs w:val="0"/>
        <w:w w:val="100"/>
        <w:sz w:val="20"/>
        <w:szCs w:val="20"/>
      </w:rPr>
    </w:lvl>
    <w:lvl w:ilvl="1" w:tplc="4D44AD22">
      <w:numFmt w:val="bullet"/>
      <w:lvlText w:val="•"/>
      <w:lvlJc w:val="left"/>
      <w:pPr>
        <w:ind w:left="1814" w:hanging="360"/>
      </w:pPr>
      <w:rPr>
        <w:rFonts w:hint="default"/>
      </w:rPr>
    </w:lvl>
    <w:lvl w:ilvl="2" w:tplc="6B808AFA">
      <w:numFmt w:val="bullet"/>
      <w:lvlText w:val="•"/>
      <w:lvlJc w:val="left"/>
      <w:pPr>
        <w:ind w:left="2688" w:hanging="360"/>
      </w:pPr>
      <w:rPr>
        <w:rFonts w:hint="default"/>
      </w:rPr>
    </w:lvl>
    <w:lvl w:ilvl="3" w:tplc="18CCBA56">
      <w:numFmt w:val="bullet"/>
      <w:lvlText w:val="•"/>
      <w:lvlJc w:val="left"/>
      <w:pPr>
        <w:ind w:left="3562" w:hanging="360"/>
      </w:pPr>
      <w:rPr>
        <w:rFonts w:hint="default"/>
      </w:rPr>
    </w:lvl>
    <w:lvl w:ilvl="4" w:tplc="182A86D0">
      <w:numFmt w:val="bullet"/>
      <w:lvlText w:val="•"/>
      <w:lvlJc w:val="left"/>
      <w:pPr>
        <w:ind w:left="4436" w:hanging="360"/>
      </w:pPr>
      <w:rPr>
        <w:rFonts w:hint="default"/>
      </w:rPr>
    </w:lvl>
    <w:lvl w:ilvl="5" w:tplc="77BE23F8">
      <w:numFmt w:val="bullet"/>
      <w:lvlText w:val="•"/>
      <w:lvlJc w:val="left"/>
      <w:pPr>
        <w:ind w:left="5310" w:hanging="360"/>
      </w:pPr>
      <w:rPr>
        <w:rFonts w:hint="default"/>
      </w:rPr>
    </w:lvl>
    <w:lvl w:ilvl="6" w:tplc="289C549C">
      <w:numFmt w:val="bullet"/>
      <w:lvlText w:val="•"/>
      <w:lvlJc w:val="left"/>
      <w:pPr>
        <w:ind w:left="6184" w:hanging="360"/>
      </w:pPr>
      <w:rPr>
        <w:rFonts w:hint="default"/>
      </w:rPr>
    </w:lvl>
    <w:lvl w:ilvl="7" w:tplc="43AEBBD8">
      <w:numFmt w:val="bullet"/>
      <w:lvlText w:val="•"/>
      <w:lvlJc w:val="left"/>
      <w:pPr>
        <w:ind w:left="7058" w:hanging="360"/>
      </w:pPr>
      <w:rPr>
        <w:rFonts w:hint="default"/>
      </w:rPr>
    </w:lvl>
    <w:lvl w:ilvl="8" w:tplc="C17AECF0">
      <w:numFmt w:val="bullet"/>
      <w:lvlText w:val="•"/>
      <w:lvlJc w:val="left"/>
      <w:pPr>
        <w:ind w:left="7932" w:hanging="360"/>
      </w:pPr>
      <w:rPr>
        <w:rFonts w:hint="default"/>
      </w:rPr>
    </w:lvl>
  </w:abstractNum>
  <w:abstractNum w:abstractNumId="1" w15:restartNumberingAfterBreak="0">
    <w:nsid w:val="47BA66AD"/>
    <w:multiLevelType w:val="multilevel"/>
    <w:tmpl w:val="9C8E8FA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1913347099">
    <w:abstractNumId w:val="0"/>
  </w:num>
  <w:num w:numId="2" w16cid:durableId="25070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3"/>
    <w:rsid w:val="001D0648"/>
    <w:rsid w:val="00306CD9"/>
    <w:rsid w:val="0035448E"/>
    <w:rsid w:val="00432563"/>
    <w:rsid w:val="00474329"/>
    <w:rsid w:val="0060021B"/>
    <w:rsid w:val="006133B3"/>
    <w:rsid w:val="00644DA5"/>
    <w:rsid w:val="00696690"/>
    <w:rsid w:val="00A84D66"/>
    <w:rsid w:val="00AA0128"/>
    <w:rsid w:val="00C202E3"/>
    <w:rsid w:val="00C91881"/>
    <w:rsid w:val="00DF539B"/>
    <w:rsid w:val="00E127ED"/>
    <w:rsid w:val="00EB16CF"/>
    <w:rsid w:val="090CB5D5"/>
    <w:rsid w:val="2598FFE4"/>
    <w:rsid w:val="2D50497B"/>
    <w:rsid w:val="55BA301C"/>
    <w:rsid w:val="69C36D18"/>
    <w:rsid w:val="7594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67F1"/>
  <w15:docId w15:val="{2D928B25-BB1B-4544-81FA-714DB07E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56"/>
      <w:ind w:left="220" w:right="128"/>
    </w:pPr>
  </w:style>
  <w:style w:type="paragraph" w:styleId="ListParagraph">
    <w:name w:val="List Paragraph"/>
    <w:basedOn w:val="Normal"/>
    <w:uiPriority w:val="1"/>
    <w:qFormat/>
    <w:pPr>
      <w:spacing w:line="255" w:lineRule="exact"/>
      <w:ind w:left="940" w:hanging="360"/>
    </w:pPr>
  </w:style>
  <w:style w:type="paragraph" w:styleId="TableParagraph" w:customStyle="1">
    <w:name w:val="Table Paragraph"/>
    <w:basedOn w:val="Normal"/>
    <w:uiPriority w:val="1"/>
    <w:qFormat/>
    <w:pPr>
      <w:ind w:left="4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D44252CD5464CB7E20A2CC6EA6EA7" ma:contentTypeVersion="14" ma:contentTypeDescription="Create a new document." ma:contentTypeScope="" ma:versionID="6d892ba938ee0e34b8e4e69c6f0ca608">
  <xsd:schema xmlns:xsd="http://www.w3.org/2001/XMLSchema" xmlns:xs="http://www.w3.org/2001/XMLSchema" xmlns:p="http://schemas.microsoft.com/office/2006/metadata/properties" xmlns:ns1="http://schemas.microsoft.com/sharepoint/v3" xmlns:ns2="28aa5f7a-1512-41fa-be27-f795b775be49" xmlns:ns3="c9a394f8-0819-4b8e-b7a7-de6df7ea3639" targetNamespace="http://schemas.microsoft.com/office/2006/metadata/properties" ma:root="true" ma:fieldsID="e14ec15533e77d233672bf37d40f243a" ns1:_="" ns2:_="" ns3:_="">
    <xsd:import namespace="http://schemas.microsoft.com/sharepoint/v3"/>
    <xsd:import namespace="28aa5f7a-1512-41fa-be27-f795b775be49"/>
    <xsd:import namespace="c9a394f8-0819-4b8e-b7a7-de6df7ea36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a5f7a-1512-41fa-be27-f795b775b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ec42f1-c31e-4ce9-b234-058af3a4e6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394f8-0819-4b8e-b7a7-de6df7ea36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1dc75a-049a-43a6-85a0-0c5b36d2d0d8}" ma:internalName="TaxCatchAll" ma:showField="CatchAllData" ma:web="c9a394f8-0819-4b8e-b7a7-de6df7ea3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a394f8-0819-4b8e-b7a7-de6df7ea3639">
      <UserInfo>
        <DisplayName>Carmen Mcgee</DisplayName>
        <AccountId>327</AccountId>
        <AccountType/>
      </UserInfo>
      <UserInfo>
        <DisplayName>Natalia Vasquez</DisplayName>
        <AccountId>15</AccountId>
        <AccountType/>
      </UserInfo>
      <UserInfo>
        <DisplayName>Scott_su Cannon</DisplayName>
        <AccountId>842</AccountId>
        <AccountType/>
      </UserInfo>
      <UserInfo>
        <DisplayName>Kyle Lozito</DisplayName>
        <AccountId>599</AccountId>
        <AccountType/>
      </UserInfo>
      <UserInfo>
        <DisplayName>Gretchen Roberts</DisplayName>
        <AccountId>843</AccountId>
        <AccountType/>
      </UserInfo>
    </SharedWithUsers>
    <TaxCatchAll xmlns="c9a394f8-0819-4b8e-b7a7-de6df7ea3639" xsi:nil="true"/>
    <lcf76f155ced4ddcb4097134ff3c332f xmlns="28aa5f7a-1512-41fa-be27-f795b775be49">
      <Terms xmlns="http://schemas.microsoft.com/office/infopath/2007/PartnerControls"/>
    </lcf76f155ced4ddcb4097134ff3c332f>
    <MediaLengthInSeconds xmlns="28aa5f7a-1512-41fa-be27-f795b775be4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7CE9BC-5E37-40E2-8092-71C28825FC3A}"/>
</file>

<file path=customXml/itemProps2.xml><?xml version="1.0" encoding="utf-8"?>
<ds:datastoreItem xmlns:ds="http://schemas.openxmlformats.org/officeDocument/2006/customXml" ds:itemID="{961391E1-36AA-4CD1-9B17-4F0C717C34F7}">
  <ds:schemaRefs>
    <ds:schemaRef ds:uri="http://schemas.microsoft.com/sharepoint/v3/contenttype/forms"/>
  </ds:schemaRefs>
</ds:datastoreItem>
</file>

<file path=customXml/itemProps3.xml><?xml version="1.0" encoding="utf-8"?>
<ds:datastoreItem xmlns:ds="http://schemas.openxmlformats.org/officeDocument/2006/customXml" ds:itemID="{576071F8-AAC2-4C48-853B-B9D721C84CDA}">
  <ds:schemaRefs>
    <ds:schemaRef ds:uri="http://schemas.microsoft.com/office/2006/metadata/properties"/>
    <ds:schemaRef ds:uri="http://schemas.microsoft.com/office/infopath/2007/PartnerControls"/>
    <ds:schemaRef ds:uri="caac5c58-aa68-4d95-9c7f-f617c7801644"/>
    <ds:schemaRef ds:uri="http://schemas.microsoft.com/sharepoint/v3"/>
    <ds:schemaRef ds:uri="17ecc4cc-24bd-4579-b701-01c35176b1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Cara</dc:creator>
  <lastModifiedBy>Ciera Cueva</lastModifiedBy>
  <revision>4</revision>
  <dcterms:created xsi:type="dcterms:W3CDTF">2022-11-28T01:32:00.0000000Z</dcterms:created>
  <dcterms:modified xsi:type="dcterms:W3CDTF">2022-12-12T20:05:43.7494651Z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LastSaved">
    <vt:filetime>2021-12-20T00:00:00Z</vt:filetime>
  </property>
  <property fmtid="{D5CDD505-2E9C-101B-9397-08002B2CF9AE}" pid="4" name="ContentTypeId">
    <vt:lpwstr>0x010100DE9D44252CD5464CB7E20A2CC6EA6EA7</vt:lpwstr>
  </property>
  <property fmtid="{D5CDD505-2E9C-101B-9397-08002B2CF9AE}" pid="5" name="Order">
    <vt:r8>3400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MediaServiceImageTags">
    <vt:lpwstr/>
  </property>
</Properties>
</file>